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BF3" w:rsidRDefault="00AE553D">
      <w:r>
        <w:t>UPPI Principal Stakeholders</w:t>
      </w:r>
      <w:r w:rsidR="002F0207">
        <w:t>,</w:t>
      </w:r>
    </w:p>
    <w:p w:rsidR="00AE553D" w:rsidRDefault="00AE553D">
      <w:r>
        <w:t>As discussed, we will pay registration and travel to the following meetings sponsored by KASA and KDE P3.</w:t>
      </w:r>
      <w:r w:rsidR="002F0207">
        <w:t xml:space="preserve">  </w:t>
      </w:r>
      <w:r>
        <w:t>Please check the se</w:t>
      </w:r>
      <w:r w:rsidR="002F0207">
        <w:t>ssions you would like to attend.  We will make registration arrangements for you.  You need to make your own travel arrangements.  You will be required to complete a travel voucher and submit to Eve Proffitt.</w:t>
      </w:r>
    </w:p>
    <w:p w:rsidR="00300BBC" w:rsidRDefault="00300BBC">
      <w:r>
        <w:t>Name: __________________________________ University________________________</w:t>
      </w:r>
    </w:p>
    <w:p w:rsidR="00300BBC" w:rsidRDefault="00300BBC">
      <w:r>
        <w:t>Email: ___________________________________ Telephone: ______________________</w:t>
      </w:r>
      <w:bookmarkStart w:id="0" w:name="_GoBack"/>
      <w:bookmarkEnd w:id="0"/>
    </w:p>
    <w:p w:rsidR="00AE553D" w:rsidRPr="00AE553D" w:rsidRDefault="00AE553D">
      <w:pPr>
        <w:rPr>
          <w:b/>
        </w:rPr>
      </w:pPr>
      <w:r w:rsidRPr="00AE553D">
        <w:rPr>
          <w:b/>
        </w:rPr>
        <w:t>KASA Leadership Series</w:t>
      </w:r>
      <w:r w:rsidR="00300BBC">
        <w:rPr>
          <w:b/>
        </w:rPr>
        <w:t>---Owens Saylor</w:t>
      </w:r>
    </w:p>
    <w:tbl>
      <w:tblPr>
        <w:tblStyle w:val="TableGrid"/>
        <w:tblW w:w="9535" w:type="dxa"/>
        <w:tblLook w:val="04A0" w:firstRow="1" w:lastRow="0" w:firstColumn="1" w:lastColumn="0" w:noHBand="0" w:noVBand="1"/>
      </w:tblPr>
      <w:tblGrid>
        <w:gridCol w:w="849"/>
        <w:gridCol w:w="1167"/>
        <w:gridCol w:w="1939"/>
        <w:gridCol w:w="1980"/>
        <w:gridCol w:w="3600"/>
      </w:tblGrid>
      <w:tr w:rsidR="00AE553D" w:rsidTr="002F0207">
        <w:tc>
          <w:tcPr>
            <w:tcW w:w="849" w:type="dxa"/>
          </w:tcPr>
          <w:p w:rsidR="00AE553D" w:rsidRDefault="00AE553D">
            <w:pPr>
              <w:rPr>
                <w:b/>
              </w:rPr>
            </w:pPr>
            <w:r>
              <w:rPr>
                <w:b/>
              </w:rPr>
              <w:t>Attend</w:t>
            </w:r>
          </w:p>
        </w:tc>
        <w:tc>
          <w:tcPr>
            <w:tcW w:w="1167" w:type="dxa"/>
          </w:tcPr>
          <w:p w:rsidR="00AE553D" w:rsidRDefault="00AE553D">
            <w:pPr>
              <w:rPr>
                <w:b/>
              </w:rPr>
            </w:pPr>
            <w:r>
              <w:rPr>
                <w:b/>
              </w:rPr>
              <w:t>Date</w:t>
            </w:r>
          </w:p>
        </w:tc>
        <w:tc>
          <w:tcPr>
            <w:tcW w:w="1939" w:type="dxa"/>
          </w:tcPr>
          <w:p w:rsidR="00AE553D" w:rsidRDefault="00AE553D">
            <w:pPr>
              <w:rPr>
                <w:b/>
              </w:rPr>
            </w:pPr>
            <w:r>
              <w:rPr>
                <w:b/>
              </w:rPr>
              <w:t>Location</w:t>
            </w:r>
          </w:p>
        </w:tc>
        <w:tc>
          <w:tcPr>
            <w:tcW w:w="1980" w:type="dxa"/>
          </w:tcPr>
          <w:p w:rsidR="00AE553D" w:rsidRDefault="00AE553D">
            <w:pPr>
              <w:rPr>
                <w:b/>
              </w:rPr>
            </w:pPr>
            <w:r>
              <w:rPr>
                <w:b/>
              </w:rPr>
              <w:t>Topic/Presenter</w:t>
            </w:r>
          </w:p>
        </w:tc>
        <w:tc>
          <w:tcPr>
            <w:tcW w:w="3600" w:type="dxa"/>
          </w:tcPr>
          <w:p w:rsidR="00AE553D" w:rsidRDefault="00AE553D">
            <w:pPr>
              <w:rPr>
                <w:b/>
              </w:rPr>
            </w:pPr>
            <w:r>
              <w:rPr>
                <w:b/>
              </w:rPr>
              <w:t>Description</w:t>
            </w:r>
          </w:p>
        </w:tc>
      </w:tr>
      <w:tr w:rsidR="00AE553D" w:rsidTr="002F0207">
        <w:tc>
          <w:tcPr>
            <w:tcW w:w="849" w:type="dxa"/>
          </w:tcPr>
          <w:p w:rsidR="00AE553D" w:rsidRDefault="00AE553D">
            <w:pPr>
              <w:rPr>
                <w:b/>
              </w:rPr>
            </w:pPr>
          </w:p>
        </w:tc>
        <w:tc>
          <w:tcPr>
            <w:tcW w:w="1167" w:type="dxa"/>
          </w:tcPr>
          <w:p w:rsidR="00AE553D" w:rsidRPr="00AE553D" w:rsidRDefault="00AE553D">
            <w:r>
              <w:t>11/3/2018</w:t>
            </w:r>
          </w:p>
        </w:tc>
        <w:tc>
          <w:tcPr>
            <w:tcW w:w="1939" w:type="dxa"/>
          </w:tcPr>
          <w:p w:rsidR="00AE553D" w:rsidRDefault="00AE553D">
            <w:r>
              <w:t xml:space="preserve">KASA Training Center Frankfort KY </w:t>
            </w:r>
          </w:p>
          <w:p w:rsidR="00AE553D" w:rsidRDefault="00AE553D">
            <w:r>
              <w:t>$189</w:t>
            </w:r>
          </w:p>
          <w:p w:rsidR="002F0207" w:rsidRDefault="002F0207"/>
          <w:p w:rsidR="00AE553D" w:rsidRPr="00AE553D" w:rsidRDefault="00AE553D">
            <w:r>
              <w:t>9:00-4:00 pm</w:t>
            </w:r>
          </w:p>
        </w:tc>
        <w:tc>
          <w:tcPr>
            <w:tcW w:w="1980" w:type="dxa"/>
          </w:tcPr>
          <w:p w:rsidR="00AE553D" w:rsidRDefault="00AE553D">
            <w:r>
              <w:t>Developing Unique and Individualized Frameworks for Data Informed Curriculum, Instruction, and Assessment Process and Monitoring Protocols</w:t>
            </w:r>
          </w:p>
          <w:p w:rsidR="00AE553D" w:rsidRPr="00AE553D" w:rsidRDefault="00AE553D">
            <w:r>
              <w:t>Boyd Randolph</w:t>
            </w:r>
          </w:p>
        </w:tc>
        <w:tc>
          <w:tcPr>
            <w:tcW w:w="3600" w:type="dxa"/>
          </w:tcPr>
          <w:p w:rsidR="00AE553D" w:rsidRDefault="00AE553D" w:rsidP="00AE553D">
            <w:r>
              <w:t>In this instructionally focused training, participants will design a model to monitor student progress and teacher effectiveness design to meet learning targets and goals, with a result of analyzing and use student performance data to drive instructional improvement.</w:t>
            </w:r>
          </w:p>
        </w:tc>
      </w:tr>
      <w:tr w:rsidR="00AE553D" w:rsidTr="002F0207">
        <w:tc>
          <w:tcPr>
            <w:tcW w:w="849" w:type="dxa"/>
          </w:tcPr>
          <w:p w:rsidR="00AE553D" w:rsidRDefault="00AE553D">
            <w:pPr>
              <w:rPr>
                <w:b/>
              </w:rPr>
            </w:pPr>
          </w:p>
        </w:tc>
        <w:tc>
          <w:tcPr>
            <w:tcW w:w="1167" w:type="dxa"/>
          </w:tcPr>
          <w:p w:rsidR="00AE553D" w:rsidRPr="00AE553D" w:rsidRDefault="00AE553D">
            <w:r>
              <w:t>12/7/2018</w:t>
            </w:r>
          </w:p>
        </w:tc>
        <w:tc>
          <w:tcPr>
            <w:tcW w:w="1939" w:type="dxa"/>
          </w:tcPr>
          <w:p w:rsidR="00AE553D" w:rsidRDefault="00AE553D">
            <w:r>
              <w:t>Embassy Suites Hotel, UK Coldstream, Lexington KY</w:t>
            </w:r>
          </w:p>
          <w:p w:rsidR="00AE553D" w:rsidRDefault="00AE553D">
            <w:r>
              <w:t>$229</w:t>
            </w:r>
          </w:p>
          <w:p w:rsidR="002F0207" w:rsidRDefault="002F0207"/>
          <w:p w:rsidR="00AE553D" w:rsidRPr="00AE553D" w:rsidRDefault="00AE553D">
            <w:r>
              <w:t>9:00-4:00 pm</w:t>
            </w:r>
          </w:p>
        </w:tc>
        <w:tc>
          <w:tcPr>
            <w:tcW w:w="1980" w:type="dxa"/>
          </w:tcPr>
          <w:p w:rsidR="00AE553D" w:rsidRDefault="00AE553D">
            <w:r>
              <w:t>Leading for Differentiation:  Growing Teachers Who Grow Kids</w:t>
            </w:r>
          </w:p>
          <w:p w:rsidR="002F0207" w:rsidRDefault="002F0207"/>
          <w:p w:rsidR="00AE553D" w:rsidRPr="00AE553D" w:rsidRDefault="00AE553D">
            <w:r>
              <w:t>Dr. Carol Tomlinson</w:t>
            </w:r>
          </w:p>
        </w:tc>
        <w:tc>
          <w:tcPr>
            <w:tcW w:w="3600" w:type="dxa"/>
          </w:tcPr>
          <w:p w:rsidR="00AE553D" w:rsidRDefault="00AE553D">
            <w:r>
              <w:t xml:space="preserve">Dr. Tomlinson, the nation’s foremost authority on differentiating instruction, lays out the reflective thinking and action-oriented steps necessary to launch a system of continuous professional learning, culture building, and program assessment that will allow differentiation to flourish in every classroom. </w:t>
            </w:r>
          </w:p>
        </w:tc>
      </w:tr>
      <w:tr w:rsidR="00AE553D" w:rsidTr="002F0207">
        <w:tc>
          <w:tcPr>
            <w:tcW w:w="849" w:type="dxa"/>
          </w:tcPr>
          <w:p w:rsidR="00AE553D" w:rsidRDefault="00AE553D">
            <w:pPr>
              <w:rPr>
                <w:b/>
              </w:rPr>
            </w:pPr>
          </w:p>
        </w:tc>
        <w:tc>
          <w:tcPr>
            <w:tcW w:w="1167" w:type="dxa"/>
          </w:tcPr>
          <w:p w:rsidR="00AE553D" w:rsidRDefault="00AE553D">
            <w:r>
              <w:t>4/17/2019</w:t>
            </w:r>
          </w:p>
        </w:tc>
        <w:tc>
          <w:tcPr>
            <w:tcW w:w="1939" w:type="dxa"/>
          </w:tcPr>
          <w:p w:rsidR="00AE553D" w:rsidRDefault="00AE553D" w:rsidP="00AE553D">
            <w:r>
              <w:t xml:space="preserve">KASA Training Center Frankfort KY </w:t>
            </w:r>
          </w:p>
          <w:p w:rsidR="00AE553D" w:rsidRDefault="00AE553D" w:rsidP="00AE553D">
            <w:r>
              <w:t>$189</w:t>
            </w:r>
          </w:p>
          <w:p w:rsidR="002F0207" w:rsidRDefault="002F0207" w:rsidP="00AE553D"/>
          <w:p w:rsidR="00AE553D" w:rsidRDefault="00AE553D" w:rsidP="00AE553D">
            <w:r>
              <w:t>9:00-4:00 pm</w:t>
            </w:r>
          </w:p>
        </w:tc>
        <w:tc>
          <w:tcPr>
            <w:tcW w:w="1980" w:type="dxa"/>
          </w:tcPr>
          <w:p w:rsidR="00AE553D" w:rsidRDefault="00AE553D">
            <w:r>
              <w:t>Effective Human resource Management</w:t>
            </w:r>
          </w:p>
          <w:p w:rsidR="002F0207" w:rsidRDefault="002F0207"/>
          <w:p w:rsidR="00AE553D" w:rsidRDefault="00AE553D">
            <w:r>
              <w:t>Boyd Randolph</w:t>
            </w:r>
          </w:p>
        </w:tc>
        <w:tc>
          <w:tcPr>
            <w:tcW w:w="3600" w:type="dxa"/>
          </w:tcPr>
          <w:p w:rsidR="00AE553D" w:rsidRDefault="00AE553D" w:rsidP="002F0207">
            <w:r>
              <w:t>This session has been designed to help principals effectively maneuver the complex nature of school personnel laws and requirements with the goals of improving student achievement and protecting the school and district from unnecessary legal problems.  Real-life scenarios and conditional simulations will allow principals to work through various personnel situations and</w:t>
            </w:r>
            <w:r w:rsidR="002F0207">
              <w:t xml:space="preserve"> </w:t>
            </w:r>
            <w:r>
              <w:t>potential solutions.</w:t>
            </w:r>
          </w:p>
        </w:tc>
      </w:tr>
    </w:tbl>
    <w:p w:rsidR="00AE553D" w:rsidRDefault="00AE553D">
      <w:pPr>
        <w:rPr>
          <w:b/>
        </w:rPr>
      </w:pPr>
    </w:p>
    <w:p w:rsidR="00300BBC" w:rsidRDefault="00300BBC">
      <w:pPr>
        <w:rPr>
          <w:b/>
        </w:rPr>
      </w:pPr>
    </w:p>
    <w:p w:rsidR="00300BBC" w:rsidRDefault="00300BBC">
      <w:pPr>
        <w:rPr>
          <w:b/>
        </w:rPr>
      </w:pPr>
    </w:p>
    <w:p w:rsidR="002F0207" w:rsidRDefault="002F0207">
      <w:pPr>
        <w:rPr>
          <w:b/>
        </w:rPr>
      </w:pPr>
      <w:r>
        <w:rPr>
          <w:b/>
        </w:rPr>
        <w:t>KDE Principal Partnership Project (P3) or Assistant Principal Partnership Project (AP3)</w:t>
      </w:r>
      <w:r w:rsidR="00300BBC">
        <w:rPr>
          <w:b/>
        </w:rPr>
        <w:t>—Jenny Ray</w:t>
      </w:r>
    </w:p>
    <w:tbl>
      <w:tblPr>
        <w:tblStyle w:val="TableGrid"/>
        <w:tblW w:w="0" w:type="auto"/>
        <w:tblLook w:val="04A0" w:firstRow="1" w:lastRow="0" w:firstColumn="1" w:lastColumn="0" w:noHBand="0" w:noVBand="1"/>
      </w:tblPr>
      <w:tblGrid>
        <w:gridCol w:w="2337"/>
        <w:gridCol w:w="2337"/>
        <w:gridCol w:w="2338"/>
        <w:gridCol w:w="2338"/>
      </w:tblGrid>
      <w:tr w:rsidR="002F0207" w:rsidTr="002F0207">
        <w:tc>
          <w:tcPr>
            <w:tcW w:w="2337" w:type="dxa"/>
          </w:tcPr>
          <w:p w:rsidR="002F0207" w:rsidRDefault="002F0207">
            <w:pPr>
              <w:rPr>
                <w:b/>
              </w:rPr>
            </w:pPr>
            <w:r>
              <w:rPr>
                <w:b/>
              </w:rPr>
              <w:t>Attend</w:t>
            </w:r>
          </w:p>
        </w:tc>
        <w:tc>
          <w:tcPr>
            <w:tcW w:w="2337" w:type="dxa"/>
          </w:tcPr>
          <w:p w:rsidR="002F0207" w:rsidRDefault="002F0207">
            <w:pPr>
              <w:rPr>
                <w:b/>
              </w:rPr>
            </w:pPr>
            <w:r>
              <w:rPr>
                <w:b/>
              </w:rPr>
              <w:t>Date</w:t>
            </w:r>
          </w:p>
        </w:tc>
        <w:tc>
          <w:tcPr>
            <w:tcW w:w="2338" w:type="dxa"/>
          </w:tcPr>
          <w:p w:rsidR="002F0207" w:rsidRDefault="002F0207">
            <w:pPr>
              <w:rPr>
                <w:b/>
              </w:rPr>
            </w:pPr>
            <w:r>
              <w:rPr>
                <w:b/>
              </w:rPr>
              <w:t>Location</w:t>
            </w:r>
          </w:p>
        </w:tc>
        <w:tc>
          <w:tcPr>
            <w:tcW w:w="2338" w:type="dxa"/>
          </w:tcPr>
          <w:p w:rsidR="002F0207" w:rsidRDefault="002F0207">
            <w:pPr>
              <w:rPr>
                <w:b/>
              </w:rPr>
            </w:pPr>
            <w:r>
              <w:rPr>
                <w:b/>
              </w:rPr>
              <w:t>Topic</w:t>
            </w:r>
          </w:p>
        </w:tc>
      </w:tr>
      <w:tr w:rsidR="002F0207" w:rsidTr="00300BBC">
        <w:tc>
          <w:tcPr>
            <w:tcW w:w="2337" w:type="dxa"/>
            <w:shd w:val="clear" w:color="auto" w:fill="000000" w:themeFill="text1"/>
          </w:tcPr>
          <w:p w:rsidR="002F0207" w:rsidRDefault="002F0207">
            <w:pPr>
              <w:rPr>
                <w:b/>
              </w:rPr>
            </w:pPr>
          </w:p>
        </w:tc>
        <w:tc>
          <w:tcPr>
            <w:tcW w:w="2337" w:type="dxa"/>
          </w:tcPr>
          <w:p w:rsidR="002F0207" w:rsidRDefault="00300BBC">
            <w:pPr>
              <w:rPr>
                <w:b/>
              </w:rPr>
            </w:pPr>
            <w:r>
              <w:rPr>
                <w:b/>
              </w:rPr>
              <w:t>9/28/2018</w:t>
            </w:r>
          </w:p>
        </w:tc>
        <w:tc>
          <w:tcPr>
            <w:tcW w:w="2338" w:type="dxa"/>
          </w:tcPr>
          <w:p w:rsidR="002F0207" w:rsidRDefault="00300BBC">
            <w:pPr>
              <w:rPr>
                <w:b/>
              </w:rPr>
            </w:pPr>
            <w:r>
              <w:rPr>
                <w:b/>
              </w:rPr>
              <w:t>Frankfort KDE</w:t>
            </w:r>
          </w:p>
        </w:tc>
        <w:tc>
          <w:tcPr>
            <w:tcW w:w="2338" w:type="dxa"/>
          </w:tcPr>
          <w:p w:rsidR="002F0207" w:rsidRDefault="00300BBC">
            <w:pPr>
              <w:rPr>
                <w:b/>
              </w:rPr>
            </w:pPr>
            <w:r>
              <w:rPr>
                <w:b/>
              </w:rPr>
              <w:t>Statewide Kick Off</w:t>
            </w:r>
          </w:p>
        </w:tc>
      </w:tr>
      <w:tr w:rsidR="002F0207" w:rsidTr="002F0207">
        <w:tc>
          <w:tcPr>
            <w:tcW w:w="2337" w:type="dxa"/>
          </w:tcPr>
          <w:p w:rsidR="002F0207" w:rsidRDefault="002F0207">
            <w:pPr>
              <w:rPr>
                <w:b/>
              </w:rPr>
            </w:pPr>
          </w:p>
        </w:tc>
        <w:tc>
          <w:tcPr>
            <w:tcW w:w="2337" w:type="dxa"/>
          </w:tcPr>
          <w:p w:rsidR="002F0207" w:rsidRDefault="002F0207">
            <w:pPr>
              <w:rPr>
                <w:b/>
              </w:rPr>
            </w:pPr>
            <w:r>
              <w:rPr>
                <w:b/>
              </w:rPr>
              <w:t>11/14/2018</w:t>
            </w:r>
          </w:p>
        </w:tc>
        <w:tc>
          <w:tcPr>
            <w:tcW w:w="2338" w:type="dxa"/>
          </w:tcPr>
          <w:p w:rsidR="002F0207" w:rsidRDefault="002F0207">
            <w:pPr>
              <w:rPr>
                <w:b/>
              </w:rPr>
            </w:pPr>
            <w:r>
              <w:rPr>
                <w:b/>
              </w:rPr>
              <w:t>Casey County Schools</w:t>
            </w:r>
          </w:p>
        </w:tc>
        <w:tc>
          <w:tcPr>
            <w:tcW w:w="2338" w:type="dxa"/>
          </w:tcPr>
          <w:p w:rsidR="002F0207" w:rsidRDefault="002F0207">
            <w:pPr>
              <w:rPr>
                <w:b/>
              </w:rPr>
            </w:pPr>
            <w:r>
              <w:rPr>
                <w:b/>
              </w:rPr>
              <w:t>Leader Learning Lab</w:t>
            </w:r>
          </w:p>
        </w:tc>
      </w:tr>
      <w:tr w:rsidR="002F0207" w:rsidTr="002F0207">
        <w:tc>
          <w:tcPr>
            <w:tcW w:w="2337" w:type="dxa"/>
          </w:tcPr>
          <w:p w:rsidR="002F0207" w:rsidRDefault="002F0207">
            <w:pPr>
              <w:rPr>
                <w:b/>
              </w:rPr>
            </w:pPr>
          </w:p>
        </w:tc>
        <w:tc>
          <w:tcPr>
            <w:tcW w:w="2337" w:type="dxa"/>
          </w:tcPr>
          <w:p w:rsidR="002F0207" w:rsidRDefault="002F0207">
            <w:pPr>
              <w:rPr>
                <w:b/>
              </w:rPr>
            </w:pPr>
            <w:r>
              <w:rPr>
                <w:b/>
              </w:rPr>
              <w:t>Jan/Feb</w:t>
            </w:r>
          </w:p>
        </w:tc>
        <w:tc>
          <w:tcPr>
            <w:tcW w:w="2338" w:type="dxa"/>
          </w:tcPr>
          <w:p w:rsidR="002F0207" w:rsidRDefault="002F0207">
            <w:pPr>
              <w:rPr>
                <w:b/>
              </w:rPr>
            </w:pPr>
            <w:r>
              <w:rPr>
                <w:b/>
              </w:rPr>
              <w:t>TBD</w:t>
            </w:r>
          </w:p>
        </w:tc>
        <w:tc>
          <w:tcPr>
            <w:tcW w:w="2338" w:type="dxa"/>
          </w:tcPr>
          <w:p w:rsidR="002F0207" w:rsidRDefault="002F0207">
            <w:pPr>
              <w:rPr>
                <w:b/>
              </w:rPr>
            </w:pPr>
            <w:r>
              <w:rPr>
                <w:b/>
              </w:rPr>
              <w:t>Leader Learning Lab</w:t>
            </w:r>
          </w:p>
        </w:tc>
      </w:tr>
      <w:tr w:rsidR="002F0207" w:rsidTr="002F0207">
        <w:tc>
          <w:tcPr>
            <w:tcW w:w="2337" w:type="dxa"/>
          </w:tcPr>
          <w:p w:rsidR="002F0207" w:rsidRDefault="002F0207">
            <w:pPr>
              <w:rPr>
                <w:b/>
              </w:rPr>
            </w:pPr>
          </w:p>
        </w:tc>
        <w:tc>
          <w:tcPr>
            <w:tcW w:w="2337" w:type="dxa"/>
          </w:tcPr>
          <w:p w:rsidR="002F0207" w:rsidRDefault="002F0207">
            <w:pPr>
              <w:rPr>
                <w:b/>
              </w:rPr>
            </w:pPr>
            <w:r>
              <w:rPr>
                <w:b/>
              </w:rPr>
              <w:t>March 27, 2019</w:t>
            </w:r>
          </w:p>
        </w:tc>
        <w:tc>
          <w:tcPr>
            <w:tcW w:w="2338" w:type="dxa"/>
          </w:tcPr>
          <w:p w:rsidR="002F0207" w:rsidRDefault="00300BBC">
            <w:pPr>
              <w:rPr>
                <w:b/>
              </w:rPr>
            </w:pPr>
            <w:r>
              <w:rPr>
                <w:b/>
              </w:rPr>
              <w:t>Richmond KY</w:t>
            </w:r>
          </w:p>
        </w:tc>
        <w:tc>
          <w:tcPr>
            <w:tcW w:w="2338" w:type="dxa"/>
          </w:tcPr>
          <w:p w:rsidR="002F0207" w:rsidRDefault="00300BBC">
            <w:pPr>
              <w:rPr>
                <w:b/>
              </w:rPr>
            </w:pPr>
            <w:r>
              <w:rPr>
                <w:b/>
              </w:rPr>
              <w:t>Statewide Closing Event</w:t>
            </w:r>
          </w:p>
        </w:tc>
      </w:tr>
    </w:tbl>
    <w:p w:rsidR="002F0207" w:rsidRPr="00AE553D" w:rsidRDefault="002F0207">
      <w:pPr>
        <w:rPr>
          <w:b/>
        </w:rPr>
      </w:pPr>
    </w:p>
    <w:sectPr w:rsidR="002F0207" w:rsidRPr="00AE55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53D"/>
    <w:rsid w:val="002F0207"/>
    <w:rsid w:val="00300BBC"/>
    <w:rsid w:val="00AE553D"/>
    <w:rsid w:val="00D816FA"/>
    <w:rsid w:val="00FD2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C07DC"/>
  <w15:chartTrackingRefBased/>
  <w15:docId w15:val="{E0CF84B4-2512-41DB-B54D-717ED807B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5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0B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B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Proffitt, Eve  (EPSB)</dc:creator>
  <cp:keywords/>
  <dc:description/>
  <cp:lastModifiedBy>Proffitt, Eve  (EPSB)</cp:lastModifiedBy>
  <cp:revision>2</cp:revision>
  <cp:lastPrinted>2018-09-27T12:51:00Z</cp:lastPrinted>
  <dcterms:created xsi:type="dcterms:W3CDTF">2018-09-27T12:56:00Z</dcterms:created>
  <dcterms:modified xsi:type="dcterms:W3CDTF">2018-09-27T12:56:00Z</dcterms:modified>
</cp:coreProperties>
</file>