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B2" w:rsidRDefault="00C36518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Professional Standards for Educational Leaders (PSEL) Rubric---------KENTUCKY</w:t>
      </w:r>
    </w:p>
    <w:p w:rsidR="009000B2" w:rsidRDefault="00C36518">
      <w:pPr>
        <w:rPr>
          <w:b/>
          <w:u w:val="single"/>
        </w:rPr>
      </w:pPr>
      <w:r>
        <w:rPr>
          <w:b/>
          <w:u w:val="single"/>
        </w:rPr>
        <w:t>Standard 2:   Ethics and Professional Norms</w:t>
      </w:r>
    </w:p>
    <w:p w:rsidR="009000B2" w:rsidRDefault="009000B2">
      <w:pPr>
        <w:rPr>
          <w:b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3237"/>
        <w:gridCol w:w="3238"/>
        <w:gridCol w:w="3238"/>
      </w:tblGrid>
      <w:tr w:rsidR="009000B2">
        <w:tc>
          <w:tcPr>
            <w:tcW w:w="3237" w:type="dxa"/>
          </w:tcPr>
          <w:p w:rsidR="009000B2" w:rsidRDefault="00C36518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9000B2" w:rsidRDefault="00C36518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9000B2" w:rsidRDefault="00C36518">
            <w:pPr>
              <w:rPr>
                <w:b/>
              </w:rPr>
            </w:pPr>
            <w:r>
              <w:rPr>
                <w:b/>
              </w:rPr>
              <w:t>An Accomplished School Leader</w:t>
            </w:r>
          </w:p>
        </w:tc>
        <w:tc>
          <w:tcPr>
            <w:tcW w:w="3238" w:type="dxa"/>
          </w:tcPr>
          <w:p w:rsidR="009000B2" w:rsidRDefault="00C36518">
            <w:pPr>
              <w:rPr>
                <w:b/>
              </w:rPr>
            </w:pPr>
            <w:r>
              <w:rPr>
                <w:b/>
              </w:rPr>
              <w:t>An Exemplary School Leader</w:t>
            </w:r>
          </w:p>
        </w:tc>
      </w:tr>
      <w:tr w:rsidR="009000B2">
        <w:trPr>
          <w:trHeight w:val="4840"/>
        </w:trPr>
        <w:tc>
          <w:tcPr>
            <w:tcW w:w="3237" w:type="dxa"/>
          </w:tcPr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Harsh or hostile attitude and tone when interaction with colleagues and students, exudes disdain for community norms, and is reckless with school resources.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Vague understanding and failure to reference or follow school or district policy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Lack of reflective</w:t>
            </w:r>
            <w:r>
              <w:t xml:space="preserve"> consideration for the effect and consequences of policies and practices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Irresponsible or thoughtless use of technology, especially social media.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Loose lipped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Hires staff based on personal or political relationships rather than qualifications.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Equity for students  is not a consideration in policies or programs</w:t>
            </w:r>
          </w:p>
          <w:p w:rsidR="009000B2" w:rsidRDefault="00C36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Toady for the Soccer moms</w:t>
            </w:r>
          </w:p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  <w:p w:rsidR="009000B2" w:rsidRDefault="009000B2"/>
        </w:tc>
        <w:tc>
          <w:tcPr>
            <w:tcW w:w="3237" w:type="dxa"/>
          </w:tcPr>
          <w:p w:rsidR="009000B2" w:rsidRDefault="00C365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lastRenderedPageBreak/>
              <w:t>Has mostly positive interactions with students, staff, or community and maintains focus on student learning and creating a positive environment</w:t>
            </w:r>
          </w:p>
          <w:p w:rsidR="009000B2" w:rsidRDefault="00C365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understands that there are consequences to the implementation of policy; superficially works through the consequ</w:t>
            </w:r>
            <w:r>
              <w:t>ences with students, parents and teachers</w:t>
            </w:r>
          </w:p>
          <w:p w:rsidR="009000B2" w:rsidRDefault="00C365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focuses on student achievement, but makes inconsistent accommodations with particular populations</w:t>
            </w:r>
          </w:p>
          <w:p w:rsidR="009000B2" w:rsidRDefault="00C365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personal conduct changes with different relationship</w:t>
            </w:r>
          </w:p>
          <w:p w:rsidR="009000B2" w:rsidRDefault="00C365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Inconsistent use of technology, especially social media, to cel</w:t>
            </w:r>
            <w:r>
              <w:t xml:space="preserve">ebrate students and schools </w:t>
            </w:r>
          </w:p>
        </w:tc>
        <w:tc>
          <w:tcPr>
            <w:tcW w:w="3238" w:type="dxa"/>
          </w:tcPr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Interactions with others is above reproach, maintains focus on vision and mission without fail, and personifies servant leadership.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understands and applies knowledge of school leadership, including use of data for ethical decision-making, develops supportive school environments, develops collaborative relationships with </w:t>
            </w:r>
            <w:proofErr w:type="gramStart"/>
            <w:r>
              <w:rPr>
                <w:sz w:val="20"/>
                <w:szCs w:val="20"/>
              </w:rPr>
              <w:t>all  stakeholders</w:t>
            </w:r>
            <w:proofErr w:type="gramEnd"/>
            <w:r>
              <w:rPr>
                <w:sz w:val="20"/>
                <w:szCs w:val="20"/>
              </w:rPr>
              <w:t xml:space="preserve">, appropriately uses technology for </w:t>
            </w:r>
            <w:r>
              <w:rPr>
                <w:sz w:val="20"/>
                <w:szCs w:val="20"/>
              </w:rPr>
              <w:t xml:space="preserve">data management and communication, and maintaining appropriate disposition and professional standards with regard to law and policies. 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the intended and unintended consequences of policies and practices in terms of their effects on students (c)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compromising regarding raising student achievement (c)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model core values demonstrated by personal conduct, relationships with </w:t>
            </w:r>
            <w:r>
              <w:rPr>
                <w:sz w:val="20"/>
                <w:szCs w:val="20"/>
              </w:rPr>
              <w:lastRenderedPageBreak/>
              <w:t>others, ethical decision making, stewardship and application of school resources (a)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other members of the l</w:t>
            </w:r>
            <w:r>
              <w:rPr>
                <w:sz w:val="20"/>
                <w:szCs w:val="20"/>
              </w:rPr>
              <w:t>earning community to be good citizens and contribute in a positive manner to the broader community by maintaining positive working relationships, consistent communication and proper guidance (d)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technology, especially social media, in a manner that ce</w:t>
            </w:r>
            <w:r>
              <w:rPr>
                <w:sz w:val="20"/>
                <w:szCs w:val="20"/>
              </w:rPr>
              <w:t xml:space="preserve">lebrates student and school </w:t>
            </w:r>
          </w:p>
          <w:p w:rsidR="009000B2" w:rsidRDefault="00C3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achievement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Recognized and reports ethical breaches as appropriate.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confidentiality with discretion while encouraging others to do the same.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themselves and all students and adults accountable to high level of pe</w:t>
            </w:r>
            <w:r>
              <w:rPr>
                <w:sz w:val="20"/>
                <w:szCs w:val="20"/>
              </w:rPr>
              <w:t>rsonal and professional ethics (f)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hires the person that best meets the position regardless of internal and external pressures (b)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dispositions that reflect respect for social justice and the right for independent thought in students and teach</w:t>
            </w:r>
            <w:r>
              <w:rPr>
                <w:sz w:val="20"/>
                <w:szCs w:val="20"/>
              </w:rPr>
              <w:t>ers</w:t>
            </w:r>
          </w:p>
          <w:p w:rsidR="009000B2" w:rsidRDefault="00C36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Exemplify belief in the ability of all students to meet standards </w:t>
            </w:r>
            <w:r>
              <w:rPr>
                <w:sz w:val="20"/>
                <w:szCs w:val="20"/>
              </w:rPr>
              <w:lastRenderedPageBreak/>
              <w:t>of appropriate and ethical conduct</w:t>
            </w:r>
          </w:p>
        </w:tc>
        <w:tc>
          <w:tcPr>
            <w:tcW w:w="3238" w:type="dxa"/>
          </w:tcPr>
          <w:p w:rsidR="009000B2" w:rsidRDefault="00C36518">
            <w:pPr>
              <w:numPr>
                <w:ilvl w:val="0"/>
                <w:numId w:val="2"/>
              </w:numPr>
              <w:ind w:left="360" w:hanging="270"/>
              <w:contextualSpacing/>
            </w:pPr>
            <w:r>
              <w:lastRenderedPageBreak/>
              <w:t>Extends ethical culture into school and community through development and enforcement of norms and advocates transparent decision making process within the school.</w:t>
            </w:r>
          </w:p>
          <w:p w:rsidR="009000B2" w:rsidRDefault="009000B2">
            <w:pPr>
              <w:ind w:left="360" w:hanging="270"/>
            </w:pPr>
          </w:p>
        </w:tc>
      </w:tr>
    </w:tbl>
    <w:p w:rsidR="009000B2" w:rsidRDefault="009000B2">
      <w:pPr>
        <w:rPr>
          <w:b/>
        </w:rPr>
      </w:pPr>
    </w:p>
    <w:sectPr w:rsidR="009000B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495"/>
    <w:multiLevelType w:val="multilevel"/>
    <w:tmpl w:val="A704A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514FB"/>
    <w:multiLevelType w:val="multilevel"/>
    <w:tmpl w:val="0F4E8C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2304AC"/>
    <w:multiLevelType w:val="multilevel"/>
    <w:tmpl w:val="EB98BD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EA598B"/>
    <w:multiLevelType w:val="multilevel"/>
    <w:tmpl w:val="E8D4D2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0B2"/>
    <w:rsid w:val="009000B2"/>
    <w:rsid w:val="00C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5370F-AD16-40FC-AFE4-BCF9ABB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Proffitt, Eve  (EPSB)</dc:creator>
  <cp:lastModifiedBy>Proffitt, Eve  (EPSB)</cp:lastModifiedBy>
  <cp:revision>2</cp:revision>
  <dcterms:created xsi:type="dcterms:W3CDTF">2018-12-04T18:28:00Z</dcterms:created>
  <dcterms:modified xsi:type="dcterms:W3CDTF">2018-12-04T18:28:00Z</dcterms:modified>
</cp:coreProperties>
</file>